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5341A" w14:textId="6275676A" w:rsidR="00656D01" w:rsidRDefault="00656D01" w:rsidP="00656D01">
      <w:pPr>
        <w:keepNext/>
        <w:keepLines/>
        <w:spacing w:before="120" w:after="120" w:line="276" w:lineRule="auto"/>
        <w:ind w:firstLine="709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MEZHEBE BAĞLILI</w:t>
      </w:r>
      <w:r w:rsidR="00867D9B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ĞIN ANLAMI</w:t>
      </w:r>
      <w:r w:rsidR="00495248">
        <w:rPr>
          <w:rStyle w:val="DipnotBavurusu"/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footnoteReference w:id="1"/>
      </w:r>
      <w:bookmarkStart w:id="0" w:name="_GoBack"/>
      <w:bookmarkEnd w:id="0"/>
    </w:p>
    <w:p w14:paraId="33EC6CBD" w14:textId="77777777" w:rsidR="00656D01" w:rsidRDefault="00656D01" w:rsidP="00656D01">
      <w:pPr>
        <w:keepNext/>
        <w:keepLines/>
        <w:spacing w:before="120" w:after="12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10145759" w14:textId="10404B27" w:rsidR="00656D01" w:rsidRDefault="00656D01" w:rsidP="00656D01">
      <w:pPr>
        <w:spacing w:after="0" w:line="276" w:lineRule="auto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ab/>
        <w:t xml:space="preserve">Hak bir mezhebe tutunmak, taassup değil sosyal ve dini bir ihtiyaçtır. Zira toplumda herkesin her meslekte ihtisas sahibi olmasının imkânı yoktur. İlk iki nesil (Sahabe ve 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Tâbiûn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), bir bakıma suyu kaynağından içtiklerinden mezhebi oluşuma ihtiyaç duymamışlardır. Buna rağmen 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</w:t>
      </w:r>
      <w:r>
        <w:rPr>
          <w:rFonts w:asciiTheme="majorBidi" w:hAnsiTheme="majorBidi" w:cstheme="majorBidi"/>
          <w:sz w:val="28"/>
          <w:szCs w:val="28"/>
        </w:rPr>
        <w:t>aklid</w:t>
      </w:r>
      <w:proofErr w:type="spellEnd"/>
      <w:r>
        <w:rPr>
          <w:rFonts w:asciiTheme="majorBidi" w:hAnsiTheme="majorBidi" w:cstheme="majorBidi"/>
          <w:sz w:val="28"/>
          <w:szCs w:val="28"/>
        </w:rPr>
        <w:t>, sahabe arasında da vuku bulmuş bir hakikattir.</w:t>
      </w:r>
      <w:r>
        <w:rPr>
          <w:rStyle w:val="DipnotBavurusu"/>
          <w:rFonts w:asciiTheme="majorBidi" w:hAnsiTheme="majorBidi" w:cstheme="majorBidi"/>
          <w:sz w:val="28"/>
          <w:szCs w:val="28"/>
        </w:rPr>
        <w:footnoteReference w:id="2"/>
      </w:r>
      <w:r>
        <w:rPr>
          <w:rFonts w:asciiTheme="majorBidi" w:hAnsiTheme="majorBidi" w:cstheme="majorBidi"/>
          <w:sz w:val="28"/>
          <w:szCs w:val="28"/>
        </w:rPr>
        <w:t xml:space="preserve"> Sahabenin fakih olmayanları, meselelerini, fakih olanlara sorarak, aldığı cevaba göre amel etmişlerdir.</w:t>
      </w:r>
      <w:r>
        <w:rPr>
          <w:rStyle w:val="DipnotBavurusu"/>
          <w:rFonts w:asciiTheme="majorBidi" w:hAnsiTheme="majorBidi" w:cstheme="majorBidi"/>
          <w:sz w:val="28"/>
          <w:szCs w:val="28"/>
        </w:rPr>
        <w:footnoteReference w:id="3"/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Bugünün şartlarında ise biz, suyu içmek için sağlam bir kanala tutunmak zorundayız. </w:t>
      </w:r>
      <w:r>
        <w:rPr>
          <w:rFonts w:asciiTheme="majorBidi" w:hAnsiTheme="majorBidi" w:cstheme="majorBidi"/>
          <w:color w:val="222222"/>
          <w:sz w:val="28"/>
          <w:szCs w:val="28"/>
          <w:u w:val="single"/>
          <w:shd w:val="clear" w:color="auto" w:fill="FFFFFF"/>
        </w:rPr>
        <w:t>Bu yüzden itikatta ve amelde hak bir mezhebe tutunmak (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  <w:u w:val="single"/>
          <w:shd w:val="clear" w:color="auto" w:fill="FFFFFF"/>
        </w:rPr>
        <w:t>taklid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u w:val="single"/>
          <w:shd w:val="clear" w:color="auto" w:fill="FFFFFF"/>
        </w:rPr>
        <w:t xml:space="preserve"> etmek), 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  <w:u w:val="single"/>
          <w:shd w:val="clear" w:color="auto" w:fill="FFFFFF"/>
        </w:rPr>
        <w:t>müçtehid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u w:val="single"/>
          <w:shd w:val="clear" w:color="auto" w:fill="FFFFFF"/>
        </w:rPr>
        <w:t xml:space="preserve"> olmayan kimse için zorunludur.</w:t>
      </w:r>
      <w:r>
        <w:rPr>
          <w:rStyle w:val="DipnotBavurusu"/>
          <w:rFonts w:asciiTheme="majorBidi" w:hAnsiTheme="majorBidi" w:cstheme="majorBidi"/>
          <w:sz w:val="28"/>
          <w:szCs w:val="28"/>
          <w:u w:val="single"/>
        </w:rPr>
        <w:footnoteReference w:id="4"/>
      </w:r>
      <w:r>
        <w:rPr>
          <w:rFonts w:asciiTheme="majorBidi" w:hAnsiTheme="majorBidi" w:cstheme="majorBidi"/>
          <w:color w:val="222222"/>
          <w:sz w:val="28"/>
          <w:szCs w:val="28"/>
          <w:u w:val="single"/>
          <w:shd w:val="clear" w:color="auto" w:fill="FFFFFF"/>
        </w:rPr>
        <w:t xml:space="preserve"> Yoksa zehirli bir kanala sapma veya kanalların karıştırılma tehlikesi vardır.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77679CCA" w14:textId="77777777" w:rsidR="00656D01" w:rsidRDefault="00656D01" w:rsidP="00656D01">
      <w:pPr>
        <w:spacing w:before="120" w:after="12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5CF6D8B5" w14:textId="77777777" w:rsidR="00656D01" w:rsidRDefault="00656D01" w:rsidP="00656D01">
      <w:pPr>
        <w:spacing w:after="0" w:line="276" w:lineRule="auto"/>
        <w:ind w:firstLine="708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Amelde mezhep olarak tarihte başkaca hak mezhepler zuhur etmişse de bunların çoğunun müntesibi kalmamıştır.</w:t>
      </w:r>
      <w:r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5"/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Bugün itibariyle kaynaklarına ulaşılabilecek ve temsilcisi bulunan ameli hak mezhepler bilinen 4 mezheptir. Bunlar; Hanefi, Şafii, Maliki ve Hanbeli mezhepleridir. Bir mümin bunlardan hangisine tutunduğunda, hakka tutunmuş olur. Dört mezhep imamlarının hepsi de 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Ehl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-i 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Sünnet’in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kökü olan “</w:t>
      </w:r>
      <w:proofErr w:type="spellStart"/>
      <w:r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Selefiyye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”dendir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</w:t>
      </w:r>
      <w:r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6"/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04E4842E" w14:textId="77777777" w:rsidR="00656D01" w:rsidRDefault="00656D01" w:rsidP="00656D01">
      <w:pPr>
        <w:spacing w:before="120" w:after="12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4DAF85D1" w14:textId="74542A3E" w:rsidR="00656D01" w:rsidRDefault="00A0675E" w:rsidP="00656D01">
      <w:pPr>
        <w:spacing w:before="120" w:after="12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Bugün itibariyle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Ehl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-i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Sünnet’in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itikatta iki mezhebi vardır. Onlar, “</w:t>
      </w:r>
      <w:proofErr w:type="spellStart"/>
      <w:r w:rsidRPr="001449E5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Maturidilik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 ve “</w:t>
      </w:r>
      <w:proofErr w:type="spellStart"/>
      <w:r w:rsidRPr="001449E5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Eş</w:t>
      </w:r>
      <w:r w:rsidR="003A2892" w:rsidRPr="001449E5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’a</w:t>
      </w:r>
      <w:r w:rsidRPr="001449E5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rilik</w:t>
      </w:r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”tir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. Sahabe ve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Tâbiûn’un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temsil ettiği ilk “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Selefiyye”den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sonra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Ehl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-i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Sünnet’in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yerini bu iki mezhep almıştır. Bunların her ikisinin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Ehl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-i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Sünnet’i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temsil ettiklerini ve her ikisinin de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itikadi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hak mezhepler olduğunu kesinlikle kabul edelim. Her iki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mezheb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de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Ehl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-i Sünnet mezhebidir. Tarihte aynı dönemde farklı coğrafyalarda İslam dünyasına öncülük etmişlerdir. Akademik birkaç nüans dışında aralarında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itikadi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yönden hiçbir fark yoktur. Bunların her birinin öğretileri İslam itikadının kendisidir.</w:t>
      </w:r>
      <w:r w:rsidR="00892934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7"/>
      </w:r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Bu yüzden bunlardan </w:t>
      </w:r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lastRenderedPageBreak/>
        <w:t xml:space="preserve">birisini hakir görmek veya düşmanca bir tavır almak, Allah muhafaza kişiyi dinden çıkarır.  Son yıllarda Batı, her ikisi de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Ehl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-i Sünnet olan bu iki itikat mezhebini birbirine düşman etme sevdasına tutulmuştur. Özellikle Türk gençliği ve aydını, “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Maturidiye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Türk Mezhebi,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Eş</w:t>
      </w:r>
      <w:r w:rsidR="003A289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’a</w:t>
      </w:r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riye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ise Arap Mezhebidir” sloganıyla güya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Maturidi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taraftarlığı adı altında </w:t>
      </w:r>
      <w:proofErr w:type="spellStart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Eş</w:t>
      </w:r>
      <w:r w:rsidR="003A289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’a</w:t>
      </w:r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riye</w:t>
      </w:r>
      <w:proofErr w:type="spellEnd"/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üzerine kışkırtılmaktadır. Bu hakikatleri öğrenen iyi niyetli</w:t>
      </w:r>
      <w:r w:rsidR="00C9067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</w:t>
      </w:r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vatansever</w:t>
      </w:r>
      <w:r w:rsidR="00C9067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ve </w:t>
      </w:r>
      <w:r w:rsidR="00C90674"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Müslüman</w:t>
      </w:r>
      <w:r w:rsidRPr="00A0675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Türk evladı, Allah’ın izniyle, Batının bu oyununa gelmeyecektir.</w:t>
      </w:r>
    </w:p>
    <w:p w14:paraId="61AD8A1A" w14:textId="77777777" w:rsidR="00656D01" w:rsidRDefault="00656D01" w:rsidP="00656D01">
      <w:pPr>
        <w:spacing w:before="120" w:after="12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460DD0D7" w14:textId="77777777" w:rsidR="00656D01" w:rsidRPr="00F55E5B" w:rsidRDefault="00656D01" w:rsidP="00656D01">
      <w:pPr>
        <w:spacing w:before="120" w:after="12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F55E5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2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9</w:t>
      </w:r>
      <w:r w:rsidRPr="00F55E5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.08.2018</w:t>
      </w:r>
    </w:p>
    <w:p w14:paraId="1B11AA44" w14:textId="77777777" w:rsidR="00656D01" w:rsidRPr="00F55E5B" w:rsidRDefault="00656D01" w:rsidP="00656D01">
      <w:pPr>
        <w:spacing w:before="120" w:after="120" w:line="276" w:lineRule="auto"/>
        <w:ind w:firstLine="709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</w:pPr>
      <w:r w:rsidRPr="00F55E5B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Dr. Ahmet GELİŞGEN</w:t>
      </w:r>
    </w:p>
    <w:p w14:paraId="7B69AC20" w14:textId="461F7660" w:rsidR="00892934" w:rsidRDefault="00656D01" w:rsidP="00892934">
      <w:pPr>
        <w:ind w:firstLine="708"/>
        <w:rPr>
          <w:rFonts w:ascii="Times New Roman" w:hAnsi="Times New Roman" w:cs="Times New Roman"/>
          <w:sz w:val="24"/>
          <w:szCs w:val="24"/>
          <w:lang w:eastAsia="tr-TR"/>
        </w:rPr>
      </w:pPr>
      <w:r w:rsidRPr="00F55E5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www.ahmetgelisgen.com</w:t>
      </w:r>
      <w:r w:rsidRPr="00F55E5B">
        <w:rPr>
          <w:rFonts w:asciiTheme="majorBidi" w:hAnsiTheme="majorBidi" w:cstheme="majorBidi"/>
          <w:color w:val="222222"/>
          <w:sz w:val="28"/>
          <w:szCs w:val="28"/>
        </w:rPr>
        <w:br/>
      </w:r>
    </w:p>
    <w:p w14:paraId="393FC1BD" w14:textId="77777777" w:rsidR="00CE1531" w:rsidRDefault="00CE1531"/>
    <w:sectPr w:rsidR="00CE1531" w:rsidSect="00495248">
      <w:headerReference w:type="default" r:id="rId6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2C516" w14:textId="77777777" w:rsidR="008A606A" w:rsidRDefault="008A606A" w:rsidP="00656D01">
      <w:pPr>
        <w:spacing w:after="0" w:line="240" w:lineRule="auto"/>
      </w:pPr>
      <w:r>
        <w:separator/>
      </w:r>
    </w:p>
  </w:endnote>
  <w:endnote w:type="continuationSeparator" w:id="0">
    <w:p w14:paraId="37CA917B" w14:textId="77777777" w:rsidR="008A606A" w:rsidRDefault="008A606A" w:rsidP="00656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5A7DD" w14:textId="77777777" w:rsidR="008A606A" w:rsidRDefault="008A606A" w:rsidP="00656D01">
      <w:pPr>
        <w:spacing w:after="0" w:line="240" w:lineRule="auto"/>
      </w:pPr>
      <w:r>
        <w:separator/>
      </w:r>
    </w:p>
  </w:footnote>
  <w:footnote w:type="continuationSeparator" w:id="0">
    <w:p w14:paraId="43A056D4" w14:textId="77777777" w:rsidR="008A606A" w:rsidRDefault="008A606A" w:rsidP="00656D01">
      <w:pPr>
        <w:spacing w:after="0" w:line="240" w:lineRule="auto"/>
      </w:pPr>
      <w:r>
        <w:continuationSeparator/>
      </w:r>
    </w:p>
  </w:footnote>
  <w:footnote w:id="1">
    <w:p w14:paraId="4D02790C" w14:textId="03D1524E" w:rsidR="00495248" w:rsidRPr="00495248" w:rsidRDefault="00495248" w:rsidP="00495248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95248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95248">
        <w:rPr>
          <w:rFonts w:asciiTheme="majorBidi" w:hAnsiTheme="majorBidi" w:cstheme="majorBidi"/>
          <w:sz w:val="24"/>
          <w:szCs w:val="24"/>
        </w:rPr>
        <w:t xml:space="preserve"> </w:t>
      </w:r>
      <w:r w:rsidR="002E6FAA" w:rsidRPr="002E6FAA">
        <w:rPr>
          <w:rFonts w:asciiTheme="majorBidi" w:hAnsiTheme="majorBidi" w:cstheme="majorBidi"/>
          <w:b/>
          <w:bCs/>
          <w:i/>
          <w:iCs/>
          <w:sz w:val="24"/>
          <w:szCs w:val="24"/>
        </w:rPr>
        <w:t>“Anadolu Platformu Sonuç Bildirisinden Teraneler</w:t>
      </w:r>
      <w:r w:rsidR="002E6FAA" w:rsidRPr="002E6FAA">
        <w:rPr>
          <w:rFonts w:asciiTheme="majorBidi" w:hAnsiTheme="majorBidi" w:cstheme="majorBidi"/>
          <w:b/>
          <w:bCs/>
          <w:sz w:val="24"/>
          <w:szCs w:val="24"/>
        </w:rPr>
        <w:t xml:space="preserve">” </w:t>
      </w:r>
      <w:r w:rsidRPr="00495248">
        <w:rPr>
          <w:rFonts w:asciiTheme="majorBidi" w:hAnsiTheme="majorBidi" w:cstheme="majorBidi"/>
          <w:sz w:val="24"/>
          <w:szCs w:val="24"/>
        </w:rPr>
        <w:t xml:space="preserve">başlıklı yazımızın bir bölümüdür. </w:t>
      </w:r>
    </w:p>
  </w:footnote>
  <w:footnote w:id="2">
    <w:p w14:paraId="18A58F86" w14:textId="77777777" w:rsidR="00656D01" w:rsidRPr="00495248" w:rsidRDefault="00656D01" w:rsidP="00495248">
      <w:pPr>
        <w:pStyle w:val="DipnotMetni"/>
        <w:tabs>
          <w:tab w:val="left" w:pos="142"/>
        </w:tabs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95248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952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5248">
        <w:rPr>
          <w:rFonts w:asciiTheme="majorBidi" w:hAnsiTheme="majorBidi" w:cstheme="majorBidi"/>
          <w:sz w:val="24"/>
          <w:szCs w:val="24"/>
        </w:rPr>
        <w:t>Şirbînî</w:t>
      </w:r>
      <w:proofErr w:type="spellEnd"/>
      <w:r w:rsidRPr="004952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95248">
        <w:rPr>
          <w:rFonts w:asciiTheme="majorBidi" w:hAnsiTheme="majorBidi" w:cstheme="majorBidi"/>
          <w:sz w:val="24"/>
          <w:szCs w:val="24"/>
        </w:rPr>
        <w:t>Hâşiyetü’l-Benânî</w:t>
      </w:r>
      <w:proofErr w:type="spellEnd"/>
      <w:r w:rsidRPr="004952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5248">
        <w:rPr>
          <w:rFonts w:asciiTheme="majorBidi" w:hAnsiTheme="majorBidi" w:cstheme="majorBidi"/>
          <w:sz w:val="24"/>
          <w:szCs w:val="24"/>
        </w:rPr>
        <w:t>alâ</w:t>
      </w:r>
      <w:proofErr w:type="spellEnd"/>
      <w:r w:rsidRPr="00495248">
        <w:rPr>
          <w:rFonts w:asciiTheme="majorBidi" w:hAnsiTheme="majorBidi" w:cstheme="majorBidi"/>
          <w:sz w:val="24"/>
          <w:szCs w:val="24"/>
        </w:rPr>
        <w:t xml:space="preserve"> Şerhi </w:t>
      </w:r>
      <w:proofErr w:type="spellStart"/>
      <w:r w:rsidRPr="00495248">
        <w:rPr>
          <w:rFonts w:asciiTheme="majorBidi" w:hAnsiTheme="majorBidi" w:cstheme="majorBidi"/>
          <w:sz w:val="24"/>
          <w:szCs w:val="24"/>
        </w:rPr>
        <w:t>Cem’u’l-Cevâmi</w:t>
      </w:r>
      <w:proofErr w:type="spellEnd"/>
      <w:r w:rsidRPr="00495248">
        <w:rPr>
          <w:rFonts w:asciiTheme="majorBidi" w:hAnsiTheme="majorBidi" w:cstheme="majorBidi"/>
          <w:sz w:val="24"/>
          <w:szCs w:val="24"/>
        </w:rPr>
        <w:t>’ (</w:t>
      </w:r>
      <w:proofErr w:type="spellStart"/>
      <w:r w:rsidRPr="00495248">
        <w:rPr>
          <w:rFonts w:asciiTheme="majorBidi" w:hAnsiTheme="majorBidi" w:cstheme="majorBidi"/>
          <w:sz w:val="24"/>
          <w:szCs w:val="24"/>
        </w:rPr>
        <w:t>Hamiş’de</w:t>
      </w:r>
      <w:proofErr w:type="spellEnd"/>
      <w:r w:rsidRPr="00495248">
        <w:rPr>
          <w:rFonts w:asciiTheme="majorBidi" w:hAnsiTheme="majorBidi" w:cstheme="majorBidi"/>
          <w:sz w:val="24"/>
          <w:szCs w:val="24"/>
        </w:rPr>
        <w:t>), II/253.</w:t>
      </w:r>
    </w:p>
  </w:footnote>
  <w:footnote w:id="3">
    <w:p w14:paraId="227FC666" w14:textId="77777777" w:rsidR="00656D01" w:rsidRPr="00495248" w:rsidRDefault="00656D01" w:rsidP="00495248">
      <w:pPr>
        <w:pStyle w:val="DipnotMetni"/>
        <w:tabs>
          <w:tab w:val="left" w:pos="142"/>
        </w:tabs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95248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952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5248">
        <w:rPr>
          <w:rFonts w:asciiTheme="majorBidi" w:hAnsiTheme="majorBidi" w:cstheme="majorBidi"/>
          <w:sz w:val="24"/>
          <w:szCs w:val="24"/>
        </w:rPr>
        <w:t>Zekiyyüddin</w:t>
      </w:r>
      <w:proofErr w:type="spellEnd"/>
      <w:r w:rsidRPr="004952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5248">
        <w:rPr>
          <w:rFonts w:asciiTheme="majorBidi" w:hAnsiTheme="majorBidi" w:cstheme="majorBidi"/>
          <w:sz w:val="24"/>
          <w:szCs w:val="24"/>
        </w:rPr>
        <w:t>Şa’bân</w:t>
      </w:r>
      <w:proofErr w:type="spellEnd"/>
      <w:r w:rsidRPr="004952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95248">
        <w:rPr>
          <w:rFonts w:asciiTheme="majorBidi" w:hAnsiTheme="majorBidi" w:cstheme="majorBidi"/>
          <w:sz w:val="24"/>
          <w:szCs w:val="24"/>
        </w:rPr>
        <w:t>Usûlü’l</w:t>
      </w:r>
      <w:proofErr w:type="spellEnd"/>
      <w:r w:rsidRPr="00495248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495248">
        <w:rPr>
          <w:rFonts w:asciiTheme="majorBidi" w:hAnsiTheme="majorBidi" w:cstheme="majorBidi"/>
          <w:sz w:val="24"/>
          <w:szCs w:val="24"/>
        </w:rPr>
        <w:t>Fıkhi’l</w:t>
      </w:r>
      <w:proofErr w:type="spellEnd"/>
      <w:r w:rsidRPr="00495248">
        <w:rPr>
          <w:rFonts w:asciiTheme="majorBidi" w:hAnsiTheme="majorBidi" w:cstheme="majorBidi"/>
          <w:sz w:val="24"/>
          <w:szCs w:val="24"/>
        </w:rPr>
        <w:t>-İslâmî, s. 422.</w:t>
      </w:r>
    </w:p>
  </w:footnote>
  <w:footnote w:id="4">
    <w:p w14:paraId="1AEAEBCF" w14:textId="77777777" w:rsidR="00656D01" w:rsidRPr="00495248" w:rsidRDefault="00656D01" w:rsidP="00495248">
      <w:pPr>
        <w:pStyle w:val="DipnotMetni"/>
        <w:tabs>
          <w:tab w:val="left" w:pos="142"/>
        </w:tabs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95248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952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5248">
        <w:rPr>
          <w:rFonts w:asciiTheme="majorBidi" w:hAnsiTheme="majorBidi" w:cstheme="majorBidi"/>
          <w:sz w:val="24"/>
          <w:szCs w:val="24"/>
        </w:rPr>
        <w:t>Şâtıbî</w:t>
      </w:r>
      <w:proofErr w:type="spellEnd"/>
      <w:r w:rsidRPr="004952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95248">
        <w:rPr>
          <w:rFonts w:asciiTheme="majorBidi" w:hAnsiTheme="majorBidi" w:cstheme="majorBidi"/>
          <w:sz w:val="24"/>
          <w:szCs w:val="24"/>
        </w:rPr>
        <w:t>İ’tisam</w:t>
      </w:r>
      <w:proofErr w:type="spellEnd"/>
      <w:r w:rsidRPr="00495248">
        <w:rPr>
          <w:rFonts w:asciiTheme="majorBidi" w:hAnsiTheme="majorBidi" w:cstheme="majorBidi"/>
          <w:sz w:val="24"/>
          <w:szCs w:val="24"/>
        </w:rPr>
        <w:t>, s. 479.</w:t>
      </w:r>
    </w:p>
  </w:footnote>
  <w:footnote w:id="5">
    <w:p w14:paraId="416512E1" w14:textId="77777777" w:rsidR="00656D01" w:rsidRPr="00495248" w:rsidRDefault="00656D01" w:rsidP="00495248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95248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95248">
        <w:rPr>
          <w:rFonts w:asciiTheme="majorBidi" w:hAnsiTheme="majorBidi" w:cstheme="majorBidi"/>
          <w:sz w:val="24"/>
          <w:szCs w:val="24"/>
        </w:rPr>
        <w:t xml:space="preserve"> Abdülkerim Zeydan, el-</w:t>
      </w:r>
      <w:proofErr w:type="spellStart"/>
      <w:r w:rsidRPr="00495248">
        <w:rPr>
          <w:rFonts w:asciiTheme="majorBidi" w:hAnsiTheme="majorBidi" w:cstheme="majorBidi"/>
          <w:sz w:val="24"/>
          <w:szCs w:val="24"/>
        </w:rPr>
        <w:t>Medhal</w:t>
      </w:r>
      <w:proofErr w:type="spellEnd"/>
      <w:r w:rsidRPr="00495248">
        <w:rPr>
          <w:rFonts w:asciiTheme="majorBidi" w:hAnsiTheme="majorBidi" w:cstheme="majorBidi"/>
          <w:sz w:val="24"/>
          <w:szCs w:val="24"/>
        </w:rPr>
        <w:t>, s. 148, 149.</w:t>
      </w:r>
    </w:p>
  </w:footnote>
  <w:footnote w:id="6">
    <w:p w14:paraId="5D9221CB" w14:textId="77777777" w:rsidR="00656D01" w:rsidRPr="00495248" w:rsidRDefault="00656D01" w:rsidP="00495248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95248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952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5248">
        <w:rPr>
          <w:rFonts w:asciiTheme="majorBidi" w:hAnsiTheme="majorBidi" w:cstheme="majorBidi"/>
          <w:sz w:val="24"/>
          <w:szCs w:val="24"/>
        </w:rPr>
        <w:t>Şerafeddin</w:t>
      </w:r>
      <w:proofErr w:type="spellEnd"/>
      <w:r w:rsidRPr="00495248">
        <w:rPr>
          <w:rFonts w:asciiTheme="majorBidi" w:hAnsiTheme="majorBidi" w:cstheme="majorBidi"/>
          <w:sz w:val="24"/>
          <w:szCs w:val="24"/>
        </w:rPr>
        <w:t xml:space="preserve"> Gölcük, Süleyman Toprak, Kelam, s. 36.</w:t>
      </w:r>
    </w:p>
  </w:footnote>
  <w:footnote w:id="7">
    <w:p w14:paraId="59795BBF" w14:textId="77777777" w:rsidR="00892934" w:rsidRDefault="00892934" w:rsidP="00892934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>
        <w:rPr>
          <w:rFonts w:asciiTheme="majorBidi" w:hAnsiTheme="majorBidi" w:cstheme="majorBidi"/>
          <w:sz w:val="24"/>
          <w:szCs w:val="24"/>
        </w:rPr>
        <w:t xml:space="preserve"> Bkz. </w:t>
      </w:r>
      <w:proofErr w:type="spellStart"/>
      <w:r>
        <w:rPr>
          <w:rFonts w:asciiTheme="majorBidi" w:hAnsiTheme="majorBidi" w:cstheme="majorBidi"/>
          <w:sz w:val="24"/>
          <w:szCs w:val="24"/>
        </w:rPr>
        <w:t>Şerafeddin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Gölcük, Süleyman Toprak, Kelam, s. 36-39.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7647429"/>
      <w:docPartObj>
        <w:docPartGallery w:val="Page Numbers (Top of Page)"/>
        <w:docPartUnique/>
      </w:docPartObj>
    </w:sdtPr>
    <w:sdtEndPr/>
    <w:sdtContent>
      <w:p w14:paraId="6DA48EE4" w14:textId="7E37DD45" w:rsidR="00892934" w:rsidRDefault="00892934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24E727" w14:textId="77777777" w:rsidR="00892934" w:rsidRDefault="008929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D8"/>
    <w:rsid w:val="001139E9"/>
    <w:rsid w:val="001449E5"/>
    <w:rsid w:val="002E6FAA"/>
    <w:rsid w:val="00353EAC"/>
    <w:rsid w:val="00370EB9"/>
    <w:rsid w:val="003A2892"/>
    <w:rsid w:val="00495248"/>
    <w:rsid w:val="00656D01"/>
    <w:rsid w:val="00703E18"/>
    <w:rsid w:val="00703F49"/>
    <w:rsid w:val="00867D9B"/>
    <w:rsid w:val="00892934"/>
    <w:rsid w:val="008A606A"/>
    <w:rsid w:val="009C0B23"/>
    <w:rsid w:val="00A0675E"/>
    <w:rsid w:val="00B43E9A"/>
    <w:rsid w:val="00C90674"/>
    <w:rsid w:val="00CE1531"/>
    <w:rsid w:val="00E478F3"/>
    <w:rsid w:val="00F7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89E5"/>
  <w15:chartTrackingRefBased/>
  <w15:docId w15:val="{BD163492-9A68-4D93-BEB5-B646CDAA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6D01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656D0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56D01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656D01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892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92934"/>
  </w:style>
  <w:style w:type="paragraph" w:styleId="AltBilgi">
    <w:name w:val="footer"/>
    <w:basedOn w:val="Normal"/>
    <w:link w:val="AltBilgiChar"/>
    <w:uiPriority w:val="99"/>
    <w:unhideWhenUsed/>
    <w:rsid w:val="00892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92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11</cp:revision>
  <dcterms:created xsi:type="dcterms:W3CDTF">2018-08-29T22:54:00Z</dcterms:created>
  <dcterms:modified xsi:type="dcterms:W3CDTF">2018-08-30T11:18:00Z</dcterms:modified>
</cp:coreProperties>
</file>